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D" w:rsidRPr="00A64A75" w:rsidRDefault="00A64A75" w:rsidP="00A64A75">
      <w:pPr>
        <w:pStyle w:val="Default"/>
        <w:jc w:val="right"/>
        <w:rPr>
          <w:color w:val="002663" w:themeColor="text1"/>
          <w:sz w:val="22"/>
          <w:szCs w:val="22"/>
        </w:rPr>
      </w:pPr>
      <w:bookmarkStart w:id="0" w:name="_GoBack"/>
      <w:bookmarkEnd w:id="0"/>
      <w:r w:rsidRPr="00A64A75">
        <w:rPr>
          <w:color w:val="002663" w:themeColor="text1"/>
          <w:sz w:val="22"/>
          <w:szCs w:val="22"/>
        </w:rPr>
        <w:t>March 2015</w:t>
      </w:r>
    </w:p>
    <w:p w:rsidR="005D6D7E" w:rsidRPr="00A64A75" w:rsidRDefault="005D6D7E" w:rsidP="005D6D7E">
      <w:pPr>
        <w:pStyle w:val="Default"/>
        <w:rPr>
          <w:b/>
          <w:bCs/>
          <w:color w:val="3F9C35" w:themeColor="text2"/>
          <w:sz w:val="28"/>
          <w:szCs w:val="28"/>
        </w:rPr>
      </w:pPr>
      <w:r w:rsidRPr="00A64A75">
        <w:rPr>
          <w:b/>
          <w:bCs/>
          <w:color w:val="3F9C35" w:themeColor="text2"/>
          <w:sz w:val="28"/>
          <w:szCs w:val="28"/>
        </w:rPr>
        <w:t xml:space="preserve">American Express Corporate Card Benefits for IAEA </w:t>
      </w:r>
      <w:r w:rsidR="00363EE2" w:rsidRPr="00A64A75">
        <w:rPr>
          <w:b/>
          <w:bCs/>
          <w:color w:val="3F9C35" w:themeColor="text2"/>
          <w:sz w:val="28"/>
          <w:szCs w:val="28"/>
        </w:rPr>
        <w:tab/>
      </w:r>
      <w:r w:rsidR="00363EE2" w:rsidRPr="00A64A75">
        <w:rPr>
          <w:b/>
          <w:bCs/>
          <w:color w:val="3F9C35" w:themeColor="text2"/>
          <w:sz w:val="28"/>
          <w:szCs w:val="28"/>
        </w:rPr>
        <w:tab/>
      </w:r>
      <w:r w:rsidR="00363EE2" w:rsidRPr="00A64A75">
        <w:rPr>
          <w:b/>
          <w:bCs/>
          <w:color w:val="3F9C35" w:themeColor="text2"/>
          <w:sz w:val="28"/>
          <w:szCs w:val="28"/>
        </w:rPr>
        <w:tab/>
      </w:r>
      <w:r w:rsidR="00363EE2" w:rsidRPr="00A64A75">
        <w:rPr>
          <w:b/>
          <w:bCs/>
          <w:color w:val="3F9C35" w:themeColor="text2"/>
          <w:sz w:val="28"/>
          <w:szCs w:val="28"/>
        </w:rPr>
        <w:tab/>
      </w:r>
      <w:r w:rsidR="00363EE2" w:rsidRPr="00A64A75">
        <w:rPr>
          <w:b/>
          <w:bCs/>
          <w:color w:val="3F9C35" w:themeColor="text2"/>
          <w:sz w:val="28"/>
          <w:szCs w:val="28"/>
        </w:rPr>
        <w:tab/>
      </w:r>
    </w:p>
    <w:p w:rsidR="00DB3281" w:rsidRDefault="00DB3281" w:rsidP="005D6D7E">
      <w:pPr>
        <w:pStyle w:val="Default"/>
        <w:rPr>
          <w:color w:val="3F9C35" w:themeColor="text2"/>
          <w:sz w:val="22"/>
          <w:szCs w:val="22"/>
        </w:rPr>
      </w:pPr>
    </w:p>
    <w:p w:rsidR="00373882" w:rsidRPr="00373882" w:rsidRDefault="00373882" w:rsidP="00373882">
      <w:pPr>
        <w:pStyle w:val="Default"/>
        <w:rPr>
          <w:color w:val="002663" w:themeColor="text1"/>
        </w:rPr>
      </w:pP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  <w:r w:rsidRPr="00373882">
        <w:rPr>
          <w:color w:val="002663" w:themeColor="text1"/>
        </w:rPr>
        <w:t xml:space="preserve">In case of any questions please contact American Express directly, </w:t>
      </w: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  <w:r w:rsidRPr="00373882">
        <w:rPr>
          <w:color w:val="002663" w:themeColor="text1"/>
        </w:rPr>
        <w:t>by phone, 24/7:</w:t>
      </w: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  <w:r w:rsidRPr="00373882">
        <w:rPr>
          <w:b/>
          <w:bCs/>
          <w:color w:val="002663" w:themeColor="text1"/>
        </w:rPr>
        <w:t xml:space="preserve">0800 900 940 </w:t>
      </w: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b/>
          <w:bCs/>
          <w:color w:val="002663" w:themeColor="text1"/>
        </w:rPr>
      </w:pPr>
      <w:r w:rsidRPr="00373882">
        <w:rPr>
          <w:b/>
          <w:bCs/>
          <w:color w:val="002663" w:themeColor="text1"/>
        </w:rPr>
        <w:t>(from abroad: +49-69/9797-2015)</w:t>
      </w:r>
    </w:p>
    <w:p w:rsidR="00373882" w:rsidRPr="00373882" w:rsidRDefault="00373882" w:rsidP="003738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364"/>
        <w:jc w:val="center"/>
        <w:rPr>
          <w:color w:val="002663" w:themeColor="text1"/>
        </w:rPr>
      </w:pPr>
    </w:p>
    <w:p w:rsidR="00373882" w:rsidRPr="00373882" w:rsidRDefault="00373882" w:rsidP="00373882">
      <w:pPr>
        <w:pStyle w:val="Default"/>
        <w:jc w:val="center"/>
        <w:rPr>
          <w:color w:val="002663" w:themeColor="text1"/>
        </w:rPr>
      </w:pPr>
    </w:p>
    <w:p w:rsidR="00373882" w:rsidRPr="00373882" w:rsidRDefault="00373882" w:rsidP="00373882">
      <w:pPr>
        <w:pStyle w:val="Default"/>
        <w:rPr>
          <w:color w:val="002663" w:themeColor="text1"/>
        </w:rPr>
      </w:pPr>
    </w:p>
    <w:p w:rsidR="00A64A75" w:rsidRPr="00373882" w:rsidRDefault="00A64A75" w:rsidP="005D6D7E">
      <w:pPr>
        <w:pStyle w:val="Default"/>
        <w:rPr>
          <w:color w:val="002663" w:themeColor="text1"/>
        </w:rPr>
      </w:pPr>
      <w:r w:rsidRPr="00373882">
        <w:rPr>
          <w:color w:val="002663" w:themeColor="text1"/>
        </w:rPr>
        <w:t>We are pleased to announce that all IAEA employees at duty station Vienna holding a fixed-term or temporary assistance appointment (minimum income of USD 20,000 per year) are allowed to receive the special offer for the American Express Corporate Card with the following key benefits.</w:t>
      </w:r>
    </w:p>
    <w:p w:rsidR="00A64A75" w:rsidRPr="00373882" w:rsidRDefault="00A64A75" w:rsidP="005D6D7E">
      <w:pPr>
        <w:pStyle w:val="Default"/>
        <w:rPr>
          <w:color w:val="002663" w:themeColor="text1"/>
        </w:rPr>
      </w:pP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No annual card fee</w:t>
      </w: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No pre-set spending limit</w:t>
      </w:r>
    </w:p>
    <w:p w:rsidR="00F26F92" w:rsidRPr="00373882" w:rsidRDefault="00F26F92" w:rsidP="00F26F92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Online access to your monthly statements and current transactions</w:t>
      </w: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Membership Rewards program available (annual fee EUR 40)</w:t>
      </w: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Travel insurance package</w:t>
      </w:r>
    </w:p>
    <w:p w:rsidR="00F26F92" w:rsidRPr="00373882" w:rsidRDefault="00F26F92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Guaranteed hotel reservations</w:t>
      </w:r>
    </w:p>
    <w:p w:rsidR="00F26F92" w:rsidRPr="00373882" w:rsidRDefault="00F26F92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No car rental deposit necessary</w:t>
      </w: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Emergency card replacement free of charge</w:t>
      </w:r>
    </w:p>
    <w:p w:rsidR="00F26F92" w:rsidRPr="00373882" w:rsidRDefault="00F26F92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Express cash withdrawals worldwide</w:t>
      </w:r>
    </w:p>
    <w:p w:rsidR="00A64A75" w:rsidRPr="00373882" w:rsidRDefault="00A64A75" w:rsidP="00A64A75">
      <w:pPr>
        <w:pStyle w:val="Default"/>
        <w:numPr>
          <w:ilvl w:val="0"/>
          <w:numId w:val="6"/>
        </w:numPr>
        <w:rPr>
          <w:color w:val="002663" w:themeColor="text1"/>
        </w:rPr>
      </w:pPr>
      <w:r w:rsidRPr="00373882">
        <w:rPr>
          <w:color w:val="002663" w:themeColor="text1"/>
        </w:rPr>
        <w:t>Maximum liability in case of loss or theft: EUR 25</w:t>
      </w:r>
    </w:p>
    <w:p w:rsidR="00FC5B3E" w:rsidRPr="00373882" w:rsidRDefault="00FC5B3E" w:rsidP="005D6D7E">
      <w:pPr>
        <w:pStyle w:val="Default"/>
        <w:rPr>
          <w:color w:val="002663" w:themeColor="text1"/>
        </w:rPr>
      </w:pPr>
    </w:p>
    <w:p w:rsidR="00F26F92" w:rsidRPr="00373882" w:rsidRDefault="00F26F92" w:rsidP="00F26F92">
      <w:pPr>
        <w:pStyle w:val="Default"/>
        <w:rPr>
          <w:color w:val="002663" w:themeColor="text1"/>
        </w:rPr>
      </w:pPr>
      <w:r w:rsidRPr="00373882">
        <w:rPr>
          <w:color w:val="002663" w:themeColor="text1"/>
        </w:rPr>
        <w:t xml:space="preserve">For a full list of benefits please visit </w:t>
      </w:r>
      <w:hyperlink r:id="rId9" w:history="1">
        <w:r w:rsidRPr="00373882">
          <w:rPr>
            <w:rStyle w:val="Hyperlink"/>
          </w:rPr>
          <w:t>www.americanexpress.at/welcome</w:t>
        </w:r>
      </w:hyperlink>
      <w:r w:rsidRPr="00373882">
        <w:rPr>
          <w:color w:val="002663" w:themeColor="text1"/>
        </w:rPr>
        <w:t>.</w:t>
      </w:r>
    </w:p>
    <w:p w:rsidR="00F26F92" w:rsidRPr="00373882" w:rsidRDefault="00F26F92" w:rsidP="005D6D7E">
      <w:pPr>
        <w:pStyle w:val="Default"/>
        <w:rPr>
          <w:color w:val="002663" w:themeColor="text1"/>
        </w:rPr>
      </w:pPr>
    </w:p>
    <w:p w:rsidR="00373882" w:rsidRDefault="00373882" w:rsidP="005D6D7E">
      <w:pPr>
        <w:pStyle w:val="Default"/>
        <w:rPr>
          <w:color w:val="002663" w:themeColor="text1"/>
        </w:rPr>
      </w:pPr>
    </w:p>
    <w:p w:rsidR="0032219D" w:rsidRPr="00373882" w:rsidRDefault="00F26F92" w:rsidP="005D6D7E">
      <w:pPr>
        <w:pStyle w:val="Default"/>
        <w:rPr>
          <w:i/>
          <w:color w:val="002663" w:themeColor="text1"/>
        </w:rPr>
      </w:pPr>
      <w:r w:rsidRPr="00373882">
        <w:rPr>
          <w:i/>
          <w:color w:val="002663" w:themeColor="text1"/>
        </w:rPr>
        <w:t xml:space="preserve">To </w:t>
      </w:r>
      <w:r w:rsidRPr="00373882">
        <w:rPr>
          <w:b/>
          <w:i/>
          <w:color w:val="002663" w:themeColor="text1"/>
        </w:rPr>
        <w:t>apply</w:t>
      </w:r>
      <w:r w:rsidRPr="00373882">
        <w:rPr>
          <w:i/>
          <w:color w:val="002663" w:themeColor="text1"/>
        </w:rPr>
        <w:t xml:space="preserve"> for a Corporate Card j</w:t>
      </w:r>
      <w:r w:rsidR="00A64A75" w:rsidRPr="00373882">
        <w:rPr>
          <w:i/>
          <w:color w:val="002663" w:themeColor="text1"/>
        </w:rPr>
        <w:t>ust complete the application form, have it stamped by IAEA Department of Human Resources (to confirm that you are an IAEA employee), enclose a copy of your passport ID and drop it at the American Express Office at COE1!</w:t>
      </w:r>
    </w:p>
    <w:sectPr w:rsidR="0032219D" w:rsidRPr="00373882" w:rsidSect="004A5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902" w:bottom="0" w:left="902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3" w:rsidRDefault="00733193" w:rsidP="00356A3F">
      <w:r>
        <w:separator/>
      </w:r>
    </w:p>
  </w:endnote>
  <w:endnote w:type="continuationSeparator" w:id="0">
    <w:p w:rsidR="00733193" w:rsidRDefault="00733193" w:rsidP="0035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C5" w:rsidRDefault="007B68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01" w:rsidRDefault="00207FB7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9684385</wp:posOffset>
              </wp:positionV>
              <wp:extent cx="73152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5FC" w:rsidRPr="00961644" w:rsidRDefault="00A825FC" w:rsidP="00A825FC">
                          <w:pPr>
                            <w:pStyle w:val="Copyright"/>
                            <w:spacing w:line="240" w:lineRule="auto"/>
                            <w:rPr>
                              <w:color w:val="ADAFAF" w:themeColor="accent6"/>
                              <w:sz w:val="12"/>
                              <w:szCs w:val="13"/>
                            </w:rPr>
                          </w:pPr>
                          <w:r w:rsidRPr="00961644">
                            <w:rPr>
                              <w:color w:val="ADAFAF" w:themeColor="accent6"/>
                              <w:sz w:val="12"/>
                              <w:szCs w:val="13"/>
                            </w:rPr>
                            <w:t xml:space="preserve">© 2011 American Express – 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</w:rPr>
                            <w:t>This material contains information that is proprietary and confidential to American Express. It cannot be shared with third parties without American Express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  <w:lang w:eastAsia="ja-JP"/>
                            </w:rPr>
                            <w:t>’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</w:rPr>
                            <w:t xml:space="preserve"> consent.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6pt;margin-top:762.55pt;width:8in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" filled="f" stroked="f" strokeweight=".5pt">
              <v:path arrowok="t"/>
              <v:textbox>
                <w:txbxContent>
                  <w:p w:rsidR="00A825FC" w:rsidRPr="00961644" w:rsidRDefault="00A825FC" w:rsidP="00A825FC">
                    <w:pPr>
                      <w:pStyle w:val="Copyright"/>
                      <w:spacing w:line="240" w:lineRule="auto"/>
                      <w:rPr>
                        <w:color w:val="ADAFAF" w:themeColor="accent6"/>
                        <w:sz w:val="12"/>
                        <w:szCs w:val="13"/>
                      </w:rPr>
                    </w:pPr>
                    <w:r w:rsidRPr="00961644">
                      <w:rPr>
                        <w:color w:val="ADAFAF" w:themeColor="accent6"/>
                        <w:sz w:val="12"/>
                        <w:szCs w:val="13"/>
                      </w:rPr>
                      <w:t xml:space="preserve">© 2011 American Express – 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</w:rPr>
                      <w:t>This material contains information that is proprietary and confidential to American Express. It cannot be shared with third parties without American Express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  <w:lang w:eastAsia="ja-JP"/>
                      </w:rPr>
                      <w:t>’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</w:rPr>
                      <w:t xml:space="preserve"> consent.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825FC">
      <w:rPr>
        <w:noProof/>
        <w:lang w:val="de-AT" w:eastAsia="de-AT"/>
      </w:rPr>
      <w:drawing>
        <wp:anchor distT="0" distB="0" distL="114300" distR="114300" simplePos="0" relativeHeight="251678208" behindDoc="1" locked="1" layoutInCell="1" allowOverlap="1">
          <wp:simplePos x="0" y="0"/>
          <wp:positionH relativeFrom="page">
            <wp:posOffset>228600</wp:posOffset>
          </wp:positionH>
          <wp:positionV relativeFrom="page">
            <wp:posOffset>9347200</wp:posOffset>
          </wp:positionV>
          <wp:extent cx="6972300" cy="711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" t="92961" r="1042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01" w:rsidRDefault="00207FB7" w:rsidP="00D0690B">
    <w:pPr>
      <w:pStyle w:val="Fuzeile"/>
      <w:tabs>
        <w:tab w:val="clear" w:pos="4680"/>
        <w:tab w:val="clear" w:pos="9360"/>
        <w:tab w:val="left" w:pos="4420"/>
        <w:tab w:val="left" w:pos="6800"/>
        <w:tab w:val="left" w:pos="9540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3088" behindDoc="0" locked="1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9674225</wp:posOffset>
              </wp:positionV>
              <wp:extent cx="7315200" cy="3429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901" w:rsidRPr="00961644" w:rsidRDefault="00D01901" w:rsidP="0026371C">
                          <w:pPr>
                            <w:pStyle w:val="Copyright"/>
                            <w:spacing w:line="240" w:lineRule="auto"/>
                            <w:rPr>
                              <w:color w:val="ADAFAF" w:themeColor="accent6"/>
                              <w:sz w:val="12"/>
                              <w:szCs w:val="13"/>
                            </w:rPr>
                          </w:pPr>
                          <w:r w:rsidRPr="00961644">
                            <w:rPr>
                              <w:color w:val="ADAFAF" w:themeColor="accent6"/>
                              <w:sz w:val="12"/>
                              <w:szCs w:val="13"/>
                            </w:rPr>
                            <w:t xml:space="preserve">© 2011 American Express – 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</w:rPr>
                            <w:t>This material contains information that is proprietary and confidential to American Express. It cannot be shared with third parties without American Express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  <w:lang w:eastAsia="ja-JP"/>
                            </w:rPr>
                            <w:t>’</w:t>
                          </w:r>
                          <w:r w:rsidRPr="00961644">
                            <w:rPr>
                              <w:rFonts w:eastAsia="ＭＳ Ｐゴシック"/>
                              <w:color w:val="ADAFAF" w:themeColor="accent6"/>
                              <w:kern w:val="24"/>
                              <w:sz w:val="12"/>
                              <w:szCs w:val="13"/>
                            </w:rPr>
                            <w:t xml:space="preserve"> consent.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pt;margin-top:761.75pt;width:8in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" filled="f" stroked="f" strokeweight=".5pt">
              <v:path arrowok="t"/>
              <v:textbox>
                <w:txbxContent>
                  <w:p w:rsidR="00D01901" w:rsidRPr="00961644" w:rsidRDefault="00D01901" w:rsidP="0026371C">
                    <w:pPr>
                      <w:pStyle w:val="Copyright"/>
                      <w:spacing w:line="240" w:lineRule="auto"/>
                      <w:rPr>
                        <w:color w:val="ADAFAF" w:themeColor="accent6"/>
                        <w:sz w:val="12"/>
                        <w:szCs w:val="13"/>
                      </w:rPr>
                    </w:pPr>
                    <w:r w:rsidRPr="00961644">
                      <w:rPr>
                        <w:color w:val="ADAFAF" w:themeColor="accent6"/>
                        <w:sz w:val="12"/>
                        <w:szCs w:val="13"/>
                      </w:rPr>
                      <w:t xml:space="preserve">© 2011 American Express – 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</w:rPr>
                      <w:t>This material contains information that is proprietary and confidential to American Express. It cannot be shared with third parties without American Express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  <w:lang w:eastAsia="ja-JP"/>
                      </w:rPr>
                      <w:t>’</w:t>
                    </w:r>
                    <w:r w:rsidRPr="00961644">
                      <w:rPr>
                        <w:rFonts w:eastAsia="ＭＳ Ｐゴシック"/>
                        <w:color w:val="ADAFAF" w:themeColor="accent6"/>
                        <w:kern w:val="24"/>
                        <w:sz w:val="12"/>
                        <w:szCs w:val="13"/>
                      </w:rPr>
                      <w:t xml:space="preserve"> consent.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01901">
      <w:tab/>
    </w:r>
    <w:r w:rsidR="00D01901">
      <w:tab/>
    </w:r>
    <w:r w:rsidR="00D0190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3" w:rsidRDefault="00733193" w:rsidP="00356A3F">
      <w:r>
        <w:separator/>
      </w:r>
    </w:p>
  </w:footnote>
  <w:footnote w:type="continuationSeparator" w:id="0">
    <w:p w:rsidR="00733193" w:rsidRDefault="00733193" w:rsidP="0035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C5" w:rsidRDefault="007B68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AE" w:rsidRDefault="00A87E85" w:rsidP="00A87E85">
    <w:pPr>
      <w:pStyle w:val="Kopfzeile"/>
      <w:tabs>
        <w:tab w:val="clear" w:pos="9360"/>
        <w:tab w:val="right" w:pos="10490"/>
      </w:tabs>
    </w:pPr>
    <w:r w:rsidRPr="00A87E85">
      <w:rPr>
        <w:noProof/>
        <w:lang w:val="de-AT" w:eastAsia="de-AT"/>
      </w:rPr>
      <w:drawing>
        <wp:anchor distT="0" distB="5080" distL="114300" distR="117094" simplePos="0" relativeHeight="25168128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147955</wp:posOffset>
          </wp:positionV>
          <wp:extent cx="1597025" cy="276225"/>
          <wp:effectExtent l="19050" t="0" r="3175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/>
                  </a:blip>
                  <a:srcRect l="1941" t="7207" r="1860" b="6152"/>
                  <a:stretch/>
                </pic:blipFill>
                <pic:spPr bwMode="auto">
                  <a:xfrm>
                    <a:off x="0" y="0"/>
                    <a:ext cx="15970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de-AT" w:eastAsia="de-AT"/>
      </w:rPr>
      <w:drawing>
        <wp:inline distT="0" distB="0" distL="0" distR="0">
          <wp:extent cx="514350" cy="514350"/>
          <wp:effectExtent l="19050" t="0" r="0" b="0"/>
          <wp:docPr id="2" name="Picture 1" descr="Logo_Amex_Verlauf_klein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ex_Verlauf_klein_RGB_72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3916" cy="51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E85" w:rsidRDefault="00A87E85" w:rsidP="00A87E85">
    <w:pPr>
      <w:pStyle w:val="Kopfzeile"/>
      <w:tabs>
        <w:tab w:val="clear" w:pos="9360"/>
        <w:tab w:val="right" w:pos="10490"/>
      </w:tabs>
    </w:pPr>
    <w:r w:rsidRPr="00A87E85">
      <w:rPr>
        <w:noProof/>
        <w:lang w:val="de-AT" w:eastAsia="de-AT"/>
      </w:rPr>
      <w:drawing>
        <wp:anchor distT="0" distB="0" distL="114300" distR="114300" simplePos="0" relativeHeight="251683328" behindDoc="1" locked="1" layoutInCell="1" allowOverlap="1">
          <wp:simplePos x="0" y="0"/>
          <wp:positionH relativeFrom="page">
            <wp:posOffset>571500</wp:posOffset>
          </wp:positionH>
          <wp:positionV relativeFrom="page">
            <wp:posOffset>1104900</wp:posOffset>
          </wp:positionV>
          <wp:extent cx="6629400" cy="6667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5824" t="10043" r="4694" b="8597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01" w:rsidRDefault="00D01901" w:rsidP="00176CAA">
    <w:pPr>
      <w:tabs>
        <w:tab w:val="clear" w:pos="400"/>
        <w:tab w:val="clear" w:pos="540"/>
        <w:tab w:val="clear" w:pos="1000"/>
      </w:tabs>
      <w:spacing w:line="240" w:lineRule="auto"/>
      <w:ind w:right="-284"/>
    </w:pPr>
    <w:r>
      <w:rPr>
        <w:noProof/>
        <w:sz w:val="2"/>
        <w:szCs w:val="2"/>
        <w:lang w:val="de-AT" w:eastAsia="de-AT"/>
      </w:rPr>
      <w:drawing>
        <wp:anchor distT="0" distB="2032" distL="114300" distR="114300" simplePos="0" relativeHeight="251676160" behindDoc="0" locked="0" layoutInCell="1" allowOverlap="1">
          <wp:simplePos x="0" y="0"/>
          <wp:positionH relativeFrom="column">
            <wp:posOffset>6236335</wp:posOffset>
          </wp:positionH>
          <wp:positionV relativeFrom="paragraph">
            <wp:posOffset>-64135</wp:posOffset>
          </wp:positionV>
          <wp:extent cx="406400" cy="355600"/>
          <wp:effectExtent l="25400" t="0" r="0" b="0"/>
          <wp:wrapNone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jpg"/>
                  <pic:cNvPicPr/>
                </pic:nvPicPr>
                <pic:blipFill rotWithShape="1">
                  <a:blip r:embed="rId1" cstate="print">
                    <a:extLst/>
                  </a:blip>
                  <a:srcRect l="84235" t="40833" r="8588" b="14167"/>
                  <a:stretch/>
                </pic:blipFill>
                <pic:spPr bwMode="auto">
                  <a:xfrm>
                    <a:off x="0" y="0"/>
                    <a:ext cx="406400" cy="355600"/>
                  </a:xfrm>
                  <a:prstGeom prst="rect">
                    <a:avLst/>
                  </a:prstGeom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sz w:val="2"/>
        <w:szCs w:val="2"/>
        <w:lang w:val="de-AT" w:eastAsia="de-AT"/>
      </w:rPr>
      <w:drawing>
        <wp:anchor distT="0" distB="5080" distL="114300" distR="117094" simplePos="0" relativeHeight="25167718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593850" cy="279400"/>
          <wp:effectExtent l="25400" t="0" r="6350" b="0"/>
          <wp:wrapNone/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/>
                  </a:blip>
                  <a:srcRect l="1941" t="7207" r="1860" b="6152"/>
                  <a:stretch/>
                </pic:blipFill>
                <pic:spPr bwMode="auto">
                  <a:xfrm>
                    <a:off x="0" y="0"/>
                    <a:ext cx="15938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C75E0F">
      <w:rPr>
        <w:sz w:val="2"/>
        <w:szCs w:val="2"/>
      </w:rPr>
      <w:t xml:space="preserve">  </w: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  <w:t xml:space="preserve">         </w:t>
    </w:r>
    <w:r>
      <w:rPr>
        <w:sz w:val="24"/>
        <w:szCs w:val="24"/>
      </w:rPr>
      <w:t xml:space="preserve">       </w:t>
    </w:r>
    <w:r w:rsidRPr="00C75E0F">
      <w:rPr>
        <w:noProof/>
        <w:sz w:val="2"/>
        <w:szCs w:val="2"/>
        <w:lang w:val="de-AT" w:eastAsia="de-AT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228600</wp:posOffset>
          </wp:positionH>
          <wp:positionV relativeFrom="page">
            <wp:posOffset>9337040</wp:posOffset>
          </wp:positionV>
          <wp:extent cx="6972300" cy="7112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1stPag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2961" r="10421"/>
                  <a:stretch/>
                </pic:blipFill>
                <pic:spPr bwMode="auto">
                  <a:xfrm>
                    <a:off x="0" y="0"/>
                    <a:ext cx="69723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1901" w:rsidRPr="00502C8F" w:rsidRDefault="00D01901" w:rsidP="00514027">
    <w:pPr>
      <w:tabs>
        <w:tab w:val="clear" w:pos="400"/>
        <w:tab w:val="clear" w:pos="540"/>
        <w:tab w:val="clear" w:pos="1000"/>
        <w:tab w:val="left" w:pos="806"/>
      </w:tabs>
      <w:spacing w:after="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8D0"/>
    <w:multiLevelType w:val="hybridMultilevel"/>
    <w:tmpl w:val="9C9CAE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157"/>
    <w:multiLevelType w:val="hybridMultilevel"/>
    <w:tmpl w:val="3238E5A2"/>
    <w:lvl w:ilvl="0" w:tplc="2654B786">
      <w:start w:val="1"/>
      <w:numFmt w:val="bullet"/>
      <w:pStyle w:val="Bullet"/>
      <w:lvlText w:val="-"/>
      <w:lvlJc w:val="left"/>
      <w:pPr>
        <w:ind w:left="900" w:hanging="360"/>
      </w:pPr>
      <w:rPr>
        <w:rFonts w:ascii="Arial" w:hAnsi="Arial" w:hint="default"/>
        <w:b/>
        <w:i w:val="0"/>
        <w:color w:val="3F9C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BF6"/>
    <w:multiLevelType w:val="hybridMultilevel"/>
    <w:tmpl w:val="EFF4FF3C"/>
    <w:lvl w:ilvl="0" w:tplc="BCDA6A58">
      <w:start w:val="1"/>
      <w:numFmt w:val="bullet"/>
      <w:pStyle w:val="Table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26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118"/>
    <w:multiLevelType w:val="hybridMultilevel"/>
    <w:tmpl w:val="3C4C799C"/>
    <w:lvl w:ilvl="0" w:tplc="D2B28F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26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5C9"/>
    <w:multiLevelType w:val="multilevel"/>
    <w:tmpl w:val="1C9E549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6699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50750"/>
    <w:multiLevelType w:val="hybridMultilevel"/>
    <w:tmpl w:val="C504C354"/>
    <w:lvl w:ilvl="0" w:tplc="11B6B2FE">
      <w:start w:val="1"/>
      <w:numFmt w:val="bullet"/>
      <w:pStyle w:val="SubBullet"/>
      <w:lvlText w:val="-"/>
      <w:lvlJc w:val="left"/>
      <w:pPr>
        <w:ind w:left="1260" w:hanging="360"/>
      </w:pPr>
      <w:rPr>
        <w:rFonts w:ascii="Arial" w:hAnsi="Arial" w:hint="default"/>
        <w:b w:val="0"/>
        <w:i w:val="0"/>
        <w:color w:val="00266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22" fillcolor="none [3213]" stroke="f" strokecolor="#4a7ebb">
      <v:fill color="none [3213]"/>
      <v:stroke color="#4a7ebb" weight="1.5pt" on="f"/>
      <v:shadow on="t" opacity="22938f" offset="0"/>
      <v:textbox inset=",7.2pt,,7.2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5"/>
    <w:rsid w:val="00032646"/>
    <w:rsid w:val="0005135F"/>
    <w:rsid w:val="00055AC6"/>
    <w:rsid w:val="0007558B"/>
    <w:rsid w:val="000755F8"/>
    <w:rsid w:val="000772C5"/>
    <w:rsid w:val="00090F6C"/>
    <w:rsid w:val="00095AEB"/>
    <w:rsid w:val="000D62AE"/>
    <w:rsid w:val="000E68F9"/>
    <w:rsid w:val="00106BED"/>
    <w:rsid w:val="00133A44"/>
    <w:rsid w:val="00145C8D"/>
    <w:rsid w:val="00145D9A"/>
    <w:rsid w:val="00155D71"/>
    <w:rsid w:val="00176CAA"/>
    <w:rsid w:val="0017793D"/>
    <w:rsid w:val="001C41F1"/>
    <w:rsid w:val="001D2530"/>
    <w:rsid w:val="00207A1C"/>
    <w:rsid w:val="00207FB7"/>
    <w:rsid w:val="00245C5A"/>
    <w:rsid w:val="0026371C"/>
    <w:rsid w:val="0028162A"/>
    <w:rsid w:val="002877C3"/>
    <w:rsid w:val="00294B76"/>
    <w:rsid w:val="002C0271"/>
    <w:rsid w:val="0032219D"/>
    <w:rsid w:val="00326EA1"/>
    <w:rsid w:val="003305EF"/>
    <w:rsid w:val="00356A3F"/>
    <w:rsid w:val="00363EE2"/>
    <w:rsid w:val="00373882"/>
    <w:rsid w:val="00377CA9"/>
    <w:rsid w:val="003B29C8"/>
    <w:rsid w:val="003C2777"/>
    <w:rsid w:val="003E39A7"/>
    <w:rsid w:val="00402244"/>
    <w:rsid w:val="004208BF"/>
    <w:rsid w:val="00461B4A"/>
    <w:rsid w:val="0048667E"/>
    <w:rsid w:val="004A509F"/>
    <w:rsid w:val="004F076C"/>
    <w:rsid w:val="00502C8F"/>
    <w:rsid w:val="00514027"/>
    <w:rsid w:val="00521074"/>
    <w:rsid w:val="00526A8C"/>
    <w:rsid w:val="00535E56"/>
    <w:rsid w:val="005403F5"/>
    <w:rsid w:val="0054374D"/>
    <w:rsid w:val="005902D1"/>
    <w:rsid w:val="005A3486"/>
    <w:rsid w:val="005C625A"/>
    <w:rsid w:val="005D4A8A"/>
    <w:rsid w:val="005D6D7E"/>
    <w:rsid w:val="005F543B"/>
    <w:rsid w:val="00690C23"/>
    <w:rsid w:val="006B27A9"/>
    <w:rsid w:val="006B5093"/>
    <w:rsid w:val="006E6A4E"/>
    <w:rsid w:val="007036FC"/>
    <w:rsid w:val="00714949"/>
    <w:rsid w:val="00715A0E"/>
    <w:rsid w:val="00722C89"/>
    <w:rsid w:val="00733193"/>
    <w:rsid w:val="007B68C5"/>
    <w:rsid w:val="007B718C"/>
    <w:rsid w:val="007E73EB"/>
    <w:rsid w:val="00815631"/>
    <w:rsid w:val="0081702C"/>
    <w:rsid w:val="0082447A"/>
    <w:rsid w:val="008275BD"/>
    <w:rsid w:val="008763EB"/>
    <w:rsid w:val="008A1CDA"/>
    <w:rsid w:val="008F4A46"/>
    <w:rsid w:val="008F5965"/>
    <w:rsid w:val="008F749A"/>
    <w:rsid w:val="00907F9E"/>
    <w:rsid w:val="00940FC6"/>
    <w:rsid w:val="009411F5"/>
    <w:rsid w:val="009455FC"/>
    <w:rsid w:val="00961644"/>
    <w:rsid w:val="009A62BE"/>
    <w:rsid w:val="009B036C"/>
    <w:rsid w:val="009B43AF"/>
    <w:rsid w:val="009D27C1"/>
    <w:rsid w:val="009F670E"/>
    <w:rsid w:val="00A20700"/>
    <w:rsid w:val="00A20FC8"/>
    <w:rsid w:val="00A60B6C"/>
    <w:rsid w:val="00A64A75"/>
    <w:rsid w:val="00A825FC"/>
    <w:rsid w:val="00A87E85"/>
    <w:rsid w:val="00AC6298"/>
    <w:rsid w:val="00AE0A93"/>
    <w:rsid w:val="00AF0A21"/>
    <w:rsid w:val="00B67DDC"/>
    <w:rsid w:val="00B760D4"/>
    <w:rsid w:val="00B92B0C"/>
    <w:rsid w:val="00B95384"/>
    <w:rsid w:val="00BB23F1"/>
    <w:rsid w:val="00BD2B07"/>
    <w:rsid w:val="00BF67E5"/>
    <w:rsid w:val="00C13EF1"/>
    <w:rsid w:val="00C32544"/>
    <w:rsid w:val="00C368C3"/>
    <w:rsid w:val="00C4109F"/>
    <w:rsid w:val="00C66C19"/>
    <w:rsid w:val="00C75E0F"/>
    <w:rsid w:val="00CA5452"/>
    <w:rsid w:val="00CB2675"/>
    <w:rsid w:val="00CE2CB4"/>
    <w:rsid w:val="00D01901"/>
    <w:rsid w:val="00D0690B"/>
    <w:rsid w:val="00D27268"/>
    <w:rsid w:val="00D50185"/>
    <w:rsid w:val="00D81B79"/>
    <w:rsid w:val="00D854BE"/>
    <w:rsid w:val="00D93B9D"/>
    <w:rsid w:val="00DB3281"/>
    <w:rsid w:val="00DB4211"/>
    <w:rsid w:val="00DC4C5C"/>
    <w:rsid w:val="00DF76F3"/>
    <w:rsid w:val="00E301D7"/>
    <w:rsid w:val="00E37256"/>
    <w:rsid w:val="00E40605"/>
    <w:rsid w:val="00E555CA"/>
    <w:rsid w:val="00E7100F"/>
    <w:rsid w:val="00E916E6"/>
    <w:rsid w:val="00EA798C"/>
    <w:rsid w:val="00ED3BE1"/>
    <w:rsid w:val="00F0217D"/>
    <w:rsid w:val="00F26F92"/>
    <w:rsid w:val="00F645C0"/>
    <w:rsid w:val="00F81F03"/>
    <w:rsid w:val="00FA6BD3"/>
    <w:rsid w:val="00FC59EB"/>
    <w:rsid w:val="00FC5B3E"/>
    <w:rsid w:val="00FC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 fillcolor="none [3213]" stroke="f" strokecolor="#4a7ebb">
      <v:fill color="none [3213]"/>
      <v:stroke color="#4a7ebb" weight="1.5pt" on="f"/>
      <v:shadow on="t" opacity="22938f" offset="0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0" w:qFormat="1"/>
    <w:lsdException w:name="Title" w:semiHidden="0" w:unhideWhenUsed="0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aliases w:val="Body Copy"/>
    <w:uiPriority w:val="99"/>
    <w:qFormat/>
    <w:rsid w:val="000D62AE"/>
    <w:pPr>
      <w:tabs>
        <w:tab w:val="left" w:pos="400"/>
        <w:tab w:val="left" w:pos="540"/>
        <w:tab w:val="left" w:pos="1000"/>
      </w:tabs>
      <w:suppressAutoHyphens/>
      <w:autoSpaceDE w:val="0"/>
      <w:autoSpaceDN w:val="0"/>
      <w:adjustRightInd w:val="0"/>
      <w:spacing w:after="240" w:line="320" w:lineRule="atLeast"/>
      <w:textAlignment w:val="center"/>
    </w:pPr>
    <w:rPr>
      <w:rFonts w:ascii="Arial" w:hAnsi="Arial" w:cs="Arial"/>
      <w:color w:val="002663"/>
      <w:sz w:val="22"/>
      <w:szCs w:val="22"/>
    </w:rPr>
  </w:style>
  <w:style w:type="paragraph" w:styleId="berschrift1">
    <w:name w:val="heading 1"/>
    <w:aliases w:val="Heading Style 1"/>
    <w:basedOn w:val="Standard"/>
    <w:next w:val="Standard"/>
    <w:link w:val="berschrift1Zchn"/>
    <w:uiPriority w:val="99"/>
    <w:rsid w:val="00A60B6C"/>
    <w:pPr>
      <w:tabs>
        <w:tab w:val="clear" w:pos="400"/>
        <w:tab w:val="clear" w:pos="540"/>
        <w:tab w:val="clear" w:pos="1000"/>
      </w:tabs>
      <w:suppressAutoHyphens w:val="0"/>
      <w:spacing w:line="480" w:lineRule="atLeast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rsid w:val="00D50185"/>
    <w:pPr>
      <w:tabs>
        <w:tab w:val="left" w:pos="900"/>
      </w:tabs>
      <w:outlineLvl w:val="1"/>
    </w:pPr>
    <w:rPr>
      <w:b/>
      <w:bCs/>
      <w:color w:val="3F9C3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Style 1 Zchn"/>
    <w:link w:val="berschrift1"/>
    <w:uiPriority w:val="99"/>
    <w:rsid w:val="00D50185"/>
    <w:rPr>
      <w:rFonts w:ascii="Arial" w:hAnsi="Arial" w:cs="Arial"/>
      <w:color w:val="002663"/>
      <w:sz w:val="40"/>
      <w:szCs w:val="40"/>
    </w:rPr>
  </w:style>
  <w:style w:type="character" w:customStyle="1" w:styleId="berschrift2Zchn">
    <w:name w:val="Überschrift 2 Zchn"/>
    <w:link w:val="berschrift2"/>
    <w:uiPriority w:val="99"/>
    <w:rsid w:val="00D50185"/>
    <w:rPr>
      <w:rFonts w:ascii="Arial" w:hAnsi="Arial" w:cs="Arial"/>
      <w:b/>
      <w:bCs/>
      <w:color w:val="3F9C35"/>
      <w:sz w:val="26"/>
      <w:szCs w:val="26"/>
    </w:rPr>
  </w:style>
  <w:style w:type="paragraph" w:customStyle="1" w:styleId="BasicParagraph">
    <w:name w:val="[Basic Paragraph]"/>
    <w:basedOn w:val="Standard"/>
    <w:uiPriority w:val="99"/>
    <w:rsid w:val="007E73EB"/>
    <w:pPr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OptionalProductName">
    <w:name w:val="Optional Product Name"/>
    <w:basedOn w:val="Standard"/>
    <w:qFormat/>
    <w:rsid w:val="009B43AF"/>
    <w:pPr>
      <w:jc w:val="right"/>
    </w:pPr>
    <w:rPr>
      <w:b/>
      <w:caps/>
      <w:color w:val="FFFFFF"/>
      <w:sz w:val="28"/>
    </w:rPr>
  </w:style>
  <w:style w:type="paragraph" w:customStyle="1" w:styleId="Head1">
    <w:name w:val="Head 1"/>
    <w:basedOn w:val="Standard"/>
    <w:uiPriority w:val="99"/>
    <w:qFormat/>
    <w:rsid w:val="003305EF"/>
    <w:pPr>
      <w:spacing w:line="480" w:lineRule="atLeast"/>
    </w:pPr>
    <w:rPr>
      <w:sz w:val="40"/>
      <w:szCs w:val="40"/>
    </w:rPr>
  </w:style>
  <w:style w:type="paragraph" w:customStyle="1" w:styleId="Head2">
    <w:name w:val="Head 2"/>
    <w:basedOn w:val="Standard"/>
    <w:uiPriority w:val="99"/>
    <w:qFormat/>
    <w:rsid w:val="00907F9E"/>
    <w:pPr>
      <w:tabs>
        <w:tab w:val="left" w:pos="900"/>
      </w:tabs>
      <w:spacing w:after="0"/>
    </w:pPr>
    <w:rPr>
      <w:b/>
      <w:bCs/>
      <w:color w:val="3F9C35"/>
      <w:sz w:val="26"/>
      <w:szCs w:val="26"/>
    </w:rPr>
  </w:style>
  <w:style w:type="character" w:customStyle="1" w:styleId="Head3">
    <w:name w:val="Head 3"/>
    <w:uiPriority w:val="99"/>
    <w:qFormat/>
    <w:rsid w:val="000E68F9"/>
    <w:rPr>
      <w:b/>
    </w:rPr>
  </w:style>
  <w:style w:type="paragraph" w:customStyle="1" w:styleId="Bullet">
    <w:name w:val="Bullet"/>
    <w:basedOn w:val="Standard"/>
    <w:next w:val="Standard"/>
    <w:uiPriority w:val="99"/>
    <w:qFormat/>
    <w:rsid w:val="00133A44"/>
    <w:pPr>
      <w:numPr>
        <w:numId w:val="1"/>
      </w:numPr>
      <w:tabs>
        <w:tab w:val="clear" w:pos="400"/>
        <w:tab w:val="clear" w:pos="540"/>
        <w:tab w:val="clear" w:pos="1000"/>
      </w:tabs>
      <w:ind w:left="540" w:hanging="180"/>
    </w:pPr>
    <w:rPr>
      <w:noProof/>
    </w:rPr>
  </w:style>
  <w:style w:type="paragraph" w:customStyle="1" w:styleId="SubBullet">
    <w:name w:val="Sub Bullet"/>
    <w:basedOn w:val="Bullet"/>
    <w:uiPriority w:val="99"/>
    <w:qFormat/>
    <w:rsid w:val="00AF0A21"/>
    <w:pPr>
      <w:numPr>
        <w:numId w:val="2"/>
      </w:numPr>
      <w:tabs>
        <w:tab w:val="left" w:pos="1051"/>
      </w:tabs>
      <w:ind w:left="1094" w:hanging="187"/>
    </w:pPr>
  </w:style>
  <w:style w:type="character" w:customStyle="1" w:styleId="BulletBold">
    <w:name w:val="Bullet Bold"/>
    <w:basedOn w:val="Head3"/>
    <w:uiPriority w:val="99"/>
    <w:qFormat/>
    <w:rsid w:val="00BD2B07"/>
    <w:rPr>
      <w:b/>
    </w:rPr>
  </w:style>
  <w:style w:type="paragraph" w:customStyle="1" w:styleId="TableHead1">
    <w:name w:val="Table Head 1"/>
    <w:basedOn w:val="Standard"/>
    <w:uiPriority w:val="99"/>
    <w:qFormat/>
    <w:rsid w:val="00461B4A"/>
    <w:rPr>
      <w:b/>
      <w:color w:val="3F9C35"/>
    </w:rPr>
  </w:style>
  <w:style w:type="paragraph" w:customStyle="1" w:styleId="TableHead2">
    <w:name w:val="Table Head 2"/>
    <w:basedOn w:val="Standard"/>
    <w:uiPriority w:val="99"/>
    <w:qFormat/>
    <w:rsid w:val="000755F8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0"/>
    </w:pPr>
    <w:rPr>
      <w:b/>
      <w:bCs/>
    </w:rPr>
  </w:style>
  <w:style w:type="paragraph" w:customStyle="1" w:styleId="TableText">
    <w:name w:val="Table Text"/>
    <w:basedOn w:val="Standard"/>
    <w:uiPriority w:val="99"/>
    <w:qFormat/>
    <w:rsid w:val="005F543B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180" w:line="288" w:lineRule="auto"/>
    </w:pPr>
  </w:style>
  <w:style w:type="paragraph" w:customStyle="1" w:styleId="TableBullet">
    <w:name w:val="Table Bullet"/>
    <w:basedOn w:val="Standard"/>
    <w:uiPriority w:val="99"/>
    <w:qFormat/>
    <w:rsid w:val="00C66C19"/>
    <w:pPr>
      <w:framePr w:hSpace="180" w:wrap="around" w:vAnchor="text" w:hAnchor="margin" w:y="1525"/>
      <w:numPr>
        <w:numId w:val="4"/>
      </w:numPr>
      <w:tabs>
        <w:tab w:val="clear" w:pos="400"/>
        <w:tab w:val="clear" w:pos="1000"/>
      </w:tabs>
      <w:spacing w:after="180"/>
    </w:pPr>
  </w:style>
  <w:style w:type="paragraph" w:customStyle="1" w:styleId="ReferenceText">
    <w:name w:val="Reference Text"/>
    <w:basedOn w:val="Standard"/>
    <w:uiPriority w:val="99"/>
    <w:qFormat/>
    <w:rsid w:val="005F543B"/>
    <w:pPr>
      <w:framePr w:hSpace="180" w:wrap="around" w:vAnchor="text" w:hAnchor="margin" w:y="475"/>
      <w:tabs>
        <w:tab w:val="clear" w:pos="400"/>
        <w:tab w:val="left" w:pos="680"/>
        <w:tab w:val="left" w:pos="900"/>
      </w:tabs>
      <w:spacing w:after="0"/>
    </w:pPr>
    <w:rPr>
      <w:sz w:val="16"/>
      <w:szCs w:val="16"/>
    </w:rPr>
  </w:style>
  <w:style w:type="paragraph" w:customStyle="1" w:styleId="ProofPointText">
    <w:name w:val="Proof Point Text"/>
    <w:basedOn w:val="Standard"/>
    <w:uiPriority w:val="99"/>
    <w:qFormat/>
    <w:rsid w:val="005F543B"/>
    <w:pPr>
      <w:framePr w:hSpace="187" w:wrap="around" w:vAnchor="text" w:hAnchor="margin" w:y="476"/>
      <w:spacing w:after="180"/>
    </w:pPr>
  </w:style>
  <w:style w:type="paragraph" w:styleId="Kopfzeile">
    <w:name w:val="header"/>
    <w:basedOn w:val="Standard"/>
    <w:link w:val="KopfzeileZchn"/>
    <w:unhideWhenUsed/>
    <w:rsid w:val="008F749A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49A"/>
    <w:rPr>
      <w:rFonts w:ascii="Arial" w:hAnsi="Arial" w:cs="Arial"/>
      <w:color w:val="002663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F749A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49A"/>
    <w:rPr>
      <w:rFonts w:ascii="Arial" w:hAnsi="Arial" w:cs="Arial"/>
      <w:color w:val="002663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49A"/>
    <w:rPr>
      <w:rFonts w:ascii="Tahoma" w:hAnsi="Tahoma" w:cs="Tahoma"/>
      <w:color w:val="002663"/>
      <w:sz w:val="16"/>
      <w:szCs w:val="16"/>
    </w:rPr>
  </w:style>
  <w:style w:type="paragraph" w:customStyle="1" w:styleId="Copyright">
    <w:name w:val="Copyright"/>
    <w:basedOn w:val="Standard"/>
    <w:uiPriority w:val="99"/>
    <w:qFormat/>
    <w:rsid w:val="00BB23F1"/>
    <w:pPr>
      <w:tabs>
        <w:tab w:val="clear" w:pos="400"/>
        <w:tab w:val="left" w:pos="680"/>
        <w:tab w:val="left" w:pos="900"/>
      </w:tabs>
      <w:spacing w:after="0" w:line="288" w:lineRule="auto"/>
    </w:pPr>
    <w:rPr>
      <w:color w:val="ADAFAF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DB4211"/>
    <w:pPr>
      <w:tabs>
        <w:tab w:val="clear" w:pos="400"/>
        <w:tab w:val="clear" w:pos="540"/>
        <w:tab w:val="clear" w:pos="1000"/>
      </w:tabs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Absatz-Standardschriftart"/>
    <w:rsid w:val="000D62A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62AE"/>
    <w:rPr>
      <w:color w:val="9C5FB5" w:themeColor="followedHyperlink"/>
      <w:u w:val="single"/>
    </w:rPr>
  </w:style>
  <w:style w:type="paragraph" w:styleId="Beschriftung">
    <w:name w:val="caption"/>
    <w:basedOn w:val="Standard"/>
    <w:next w:val="Standard"/>
    <w:qFormat/>
    <w:rsid w:val="00D854BE"/>
    <w:pPr>
      <w:tabs>
        <w:tab w:val="clear" w:pos="400"/>
        <w:tab w:val="clear" w:pos="540"/>
        <w:tab w:val="clear" w:pos="1000"/>
      </w:tabs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</w:rPr>
  </w:style>
  <w:style w:type="paragraph" w:customStyle="1" w:styleId="Default">
    <w:name w:val="Default"/>
    <w:rsid w:val="005D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0" w:qFormat="1"/>
    <w:lsdException w:name="Title" w:semiHidden="0" w:unhideWhenUsed="0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aliases w:val="Body Copy"/>
    <w:uiPriority w:val="99"/>
    <w:qFormat/>
    <w:rsid w:val="000D62AE"/>
    <w:pPr>
      <w:tabs>
        <w:tab w:val="left" w:pos="400"/>
        <w:tab w:val="left" w:pos="540"/>
        <w:tab w:val="left" w:pos="1000"/>
      </w:tabs>
      <w:suppressAutoHyphens/>
      <w:autoSpaceDE w:val="0"/>
      <w:autoSpaceDN w:val="0"/>
      <w:adjustRightInd w:val="0"/>
      <w:spacing w:after="240" w:line="320" w:lineRule="atLeast"/>
      <w:textAlignment w:val="center"/>
    </w:pPr>
    <w:rPr>
      <w:rFonts w:ascii="Arial" w:hAnsi="Arial" w:cs="Arial"/>
      <w:color w:val="002663"/>
      <w:sz w:val="22"/>
      <w:szCs w:val="22"/>
    </w:rPr>
  </w:style>
  <w:style w:type="paragraph" w:styleId="berschrift1">
    <w:name w:val="heading 1"/>
    <w:aliases w:val="Heading Style 1"/>
    <w:basedOn w:val="Standard"/>
    <w:next w:val="Standard"/>
    <w:link w:val="berschrift1Zchn"/>
    <w:uiPriority w:val="99"/>
    <w:rsid w:val="00A60B6C"/>
    <w:pPr>
      <w:tabs>
        <w:tab w:val="clear" w:pos="400"/>
        <w:tab w:val="clear" w:pos="540"/>
        <w:tab w:val="clear" w:pos="1000"/>
      </w:tabs>
      <w:suppressAutoHyphens w:val="0"/>
      <w:spacing w:line="480" w:lineRule="atLeast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rsid w:val="00D50185"/>
    <w:pPr>
      <w:tabs>
        <w:tab w:val="left" w:pos="900"/>
      </w:tabs>
      <w:outlineLvl w:val="1"/>
    </w:pPr>
    <w:rPr>
      <w:b/>
      <w:bCs/>
      <w:color w:val="3F9C3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Style 1 Zchn"/>
    <w:link w:val="berschrift1"/>
    <w:uiPriority w:val="99"/>
    <w:rsid w:val="00D50185"/>
    <w:rPr>
      <w:rFonts w:ascii="Arial" w:hAnsi="Arial" w:cs="Arial"/>
      <w:color w:val="002663"/>
      <w:sz w:val="40"/>
      <w:szCs w:val="40"/>
    </w:rPr>
  </w:style>
  <w:style w:type="character" w:customStyle="1" w:styleId="berschrift2Zchn">
    <w:name w:val="Überschrift 2 Zchn"/>
    <w:link w:val="berschrift2"/>
    <w:uiPriority w:val="99"/>
    <w:rsid w:val="00D50185"/>
    <w:rPr>
      <w:rFonts w:ascii="Arial" w:hAnsi="Arial" w:cs="Arial"/>
      <w:b/>
      <w:bCs/>
      <w:color w:val="3F9C35"/>
      <w:sz w:val="26"/>
      <w:szCs w:val="26"/>
    </w:rPr>
  </w:style>
  <w:style w:type="paragraph" w:customStyle="1" w:styleId="BasicParagraph">
    <w:name w:val="[Basic Paragraph]"/>
    <w:basedOn w:val="Standard"/>
    <w:uiPriority w:val="99"/>
    <w:rsid w:val="007E73EB"/>
    <w:pPr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OptionalProductName">
    <w:name w:val="Optional Product Name"/>
    <w:basedOn w:val="Standard"/>
    <w:qFormat/>
    <w:rsid w:val="009B43AF"/>
    <w:pPr>
      <w:jc w:val="right"/>
    </w:pPr>
    <w:rPr>
      <w:b/>
      <w:caps/>
      <w:color w:val="FFFFFF"/>
      <w:sz w:val="28"/>
    </w:rPr>
  </w:style>
  <w:style w:type="paragraph" w:customStyle="1" w:styleId="Head1">
    <w:name w:val="Head 1"/>
    <w:basedOn w:val="Standard"/>
    <w:uiPriority w:val="99"/>
    <w:qFormat/>
    <w:rsid w:val="003305EF"/>
    <w:pPr>
      <w:spacing w:line="480" w:lineRule="atLeast"/>
    </w:pPr>
    <w:rPr>
      <w:sz w:val="40"/>
      <w:szCs w:val="40"/>
    </w:rPr>
  </w:style>
  <w:style w:type="paragraph" w:customStyle="1" w:styleId="Head2">
    <w:name w:val="Head 2"/>
    <w:basedOn w:val="Standard"/>
    <w:uiPriority w:val="99"/>
    <w:qFormat/>
    <w:rsid w:val="00907F9E"/>
    <w:pPr>
      <w:tabs>
        <w:tab w:val="left" w:pos="900"/>
      </w:tabs>
      <w:spacing w:after="0"/>
    </w:pPr>
    <w:rPr>
      <w:b/>
      <w:bCs/>
      <w:color w:val="3F9C35"/>
      <w:sz w:val="26"/>
      <w:szCs w:val="26"/>
    </w:rPr>
  </w:style>
  <w:style w:type="character" w:customStyle="1" w:styleId="Head3">
    <w:name w:val="Head 3"/>
    <w:uiPriority w:val="99"/>
    <w:qFormat/>
    <w:rsid w:val="000E68F9"/>
    <w:rPr>
      <w:b/>
    </w:rPr>
  </w:style>
  <w:style w:type="paragraph" w:customStyle="1" w:styleId="Bullet">
    <w:name w:val="Bullet"/>
    <w:basedOn w:val="Standard"/>
    <w:next w:val="Standard"/>
    <w:uiPriority w:val="99"/>
    <w:qFormat/>
    <w:rsid w:val="00133A44"/>
    <w:pPr>
      <w:numPr>
        <w:numId w:val="1"/>
      </w:numPr>
      <w:tabs>
        <w:tab w:val="clear" w:pos="400"/>
        <w:tab w:val="clear" w:pos="540"/>
        <w:tab w:val="clear" w:pos="1000"/>
      </w:tabs>
      <w:ind w:left="540" w:hanging="180"/>
    </w:pPr>
    <w:rPr>
      <w:noProof/>
    </w:rPr>
  </w:style>
  <w:style w:type="paragraph" w:customStyle="1" w:styleId="SubBullet">
    <w:name w:val="Sub Bullet"/>
    <w:basedOn w:val="Bullet"/>
    <w:uiPriority w:val="99"/>
    <w:qFormat/>
    <w:rsid w:val="00AF0A21"/>
    <w:pPr>
      <w:numPr>
        <w:numId w:val="2"/>
      </w:numPr>
      <w:tabs>
        <w:tab w:val="left" w:pos="1051"/>
      </w:tabs>
      <w:ind w:left="1094" w:hanging="187"/>
    </w:pPr>
  </w:style>
  <w:style w:type="character" w:customStyle="1" w:styleId="BulletBold">
    <w:name w:val="Bullet Bold"/>
    <w:basedOn w:val="Head3"/>
    <w:uiPriority w:val="99"/>
    <w:qFormat/>
    <w:rsid w:val="00BD2B07"/>
    <w:rPr>
      <w:b/>
    </w:rPr>
  </w:style>
  <w:style w:type="paragraph" w:customStyle="1" w:styleId="TableHead1">
    <w:name w:val="Table Head 1"/>
    <w:basedOn w:val="Standard"/>
    <w:uiPriority w:val="99"/>
    <w:qFormat/>
    <w:rsid w:val="00461B4A"/>
    <w:rPr>
      <w:b/>
      <w:color w:val="3F9C35"/>
    </w:rPr>
  </w:style>
  <w:style w:type="paragraph" w:customStyle="1" w:styleId="TableHead2">
    <w:name w:val="Table Head 2"/>
    <w:basedOn w:val="Standard"/>
    <w:uiPriority w:val="99"/>
    <w:qFormat/>
    <w:rsid w:val="000755F8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0"/>
    </w:pPr>
    <w:rPr>
      <w:b/>
      <w:bCs/>
    </w:rPr>
  </w:style>
  <w:style w:type="paragraph" w:customStyle="1" w:styleId="TableText">
    <w:name w:val="Table Text"/>
    <w:basedOn w:val="Standard"/>
    <w:uiPriority w:val="99"/>
    <w:qFormat/>
    <w:rsid w:val="005F543B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180" w:line="288" w:lineRule="auto"/>
    </w:pPr>
  </w:style>
  <w:style w:type="paragraph" w:customStyle="1" w:styleId="TableBullet">
    <w:name w:val="Table Bullet"/>
    <w:basedOn w:val="Standard"/>
    <w:uiPriority w:val="99"/>
    <w:qFormat/>
    <w:rsid w:val="00C66C19"/>
    <w:pPr>
      <w:framePr w:hSpace="180" w:wrap="around" w:vAnchor="text" w:hAnchor="margin" w:y="1525"/>
      <w:numPr>
        <w:numId w:val="4"/>
      </w:numPr>
      <w:tabs>
        <w:tab w:val="clear" w:pos="400"/>
        <w:tab w:val="clear" w:pos="1000"/>
      </w:tabs>
      <w:spacing w:after="180"/>
    </w:pPr>
  </w:style>
  <w:style w:type="paragraph" w:customStyle="1" w:styleId="ReferenceText">
    <w:name w:val="Reference Text"/>
    <w:basedOn w:val="Standard"/>
    <w:uiPriority w:val="99"/>
    <w:qFormat/>
    <w:rsid w:val="005F543B"/>
    <w:pPr>
      <w:framePr w:hSpace="180" w:wrap="around" w:vAnchor="text" w:hAnchor="margin" w:y="475"/>
      <w:tabs>
        <w:tab w:val="clear" w:pos="400"/>
        <w:tab w:val="left" w:pos="680"/>
        <w:tab w:val="left" w:pos="900"/>
      </w:tabs>
      <w:spacing w:after="0"/>
    </w:pPr>
    <w:rPr>
      <w:sz w:val="16"/>
      <w:szCs w:val="16"/>
    </w:rPr>
  </w:style>
  <w:style w:type="paragraph" w:customStyle="1" w:styleId="ProofPointText">
    <w:name w:val="Proof Point Text"/>
    <w:basedOn w:val="Standard"/>
    <w:uiPriority w:val="99"/>
    <w:qFormat/>
    <w:rsid w:val="005F543B"/>
    <w:pPr>
      <w:framePr w:hSpace="187" w:wrap="around" w:vAnchor="text" w:hAnchor="margin" w:y="476"/>
      <w:spacing w:after="180"/>
    </w:pPr>
  </w:style>
  <w:style w:type="paragraph" w:styleId="Kopfzeile">
    <w:name w:val="header"/>
    <w:basedOn w:val="Standard"/>
    <w:link w:val="KopfzeileZchn"/>
    <w:unhideWhenUsed/>
    <w:rsid w:val="008F749A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49A"/>
    <w:rPr>
      <w:rFonts w:ascii="Arial" w:hAnsi="Arial" w:cs="Arial"/>
      <w:color w:val="002663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F749A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49A"/>
    <w:rPr>
      <w:rFonts w:ascii="Arial" w:hAnsi="Arial" w:cs="Arial"/>
      <w:color w:val="002663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49A"/>
    <w:rPr>
      <w:rFonts w:ascii="Tahoma" w:hAnsi="Tahoma" w:cs="Tahoma"/>
      <w:color w:val="002663"/>
      <w:sz w:val="16"/>
      <w:szCs w:val="16"/>
    </w:rPr>
  </w:style>
  <w:style w:type="paragraph" w:customStyle="1" w:styleId="Copyright">
    <w:name w:val="Copyright"/>
    <w:basedOn w:val="Standard"/>
    <w:uiPriority w:val="99"/>
    <w:qFormat/>
    <w:rsid w:val="00BB23F1"/>
    <w:pPr>
      <w:tabs>
        <w:tab w:val="clear" w:pos="400"/>
        <w:tab w:val="left" w:pos="680"/>
        <w:tab w:val="left" w:pos="900"/>
      </w:tabs>
      <w:spacing w:after="0" w:line="288" w:lineRule="auto"/>
    </w:pPr>
    <w:rPr>
      <w:color w:val="ADAFAF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DB4211"/>
    <w:pPr>
      <w:tabs>
        <w:tab w:val="clear" w:pos="400"/>
        <w:tab w:val="clear" w:pos="540"/>
        <w:tab w:val="clear" w:pos="1000"/>
      </w:tabs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Absatz-Standardschriftart"/>
    <w:rsid w:val="000D62A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62AE"/>
    <w:rPr>
      <w:color w:val="9C5FB5" w:themeColor="followedHyperlink"/>
      <w:u w:val="single"/>
    </w:rPr>
  </w:style>
  <w:style w:type="paragraph" w:styleId="Beschriftung">
    <w:name w:val="caption"/>
    <w:basedOn w:val="Standard"/>
    <w:next w:val="Standard"/>
    <w:qFormat/>
    <w:rsid w:val="00D854BE"/>
    <w:pPr>
      <w:tabs>
        <w:tab w:val="clear" w:pos="400"/>
        <w:tab w:val="clear" w:pos="540"/>
        <w:tab w:val="clear" w:pos="1000"/>
      </w:tabs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</w:rPr>
  </w:style>
  <w:style w:type="paragraph" w:customStyle="1" w:styleId="Default">
    <w:name w:val="Default"/>
    <w:rsid w:val="005D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americanexpress.at/welcom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osc\Local%20Settings\Temporary%20Internet%20Files\Content.IE5\6K90JJLZ\Global_Corporate_Payments_-_General_Word_Template_-_US_Letter_Size_-_Global%5b1%5d.dotx" TargetMode="External"/></Relationships>
</file>

<file path=word/theme/theme1.xml><?xml version="1.0" encoding="utf-8"?>
<a:theme xmlns:a="http://schemas.openxmlformats.org/drawingml/2006/main" name="test">
  <a:themeElements>
    <a:clrScheme name="Custom 73">
      <a:dk1>
        <a:srgbClr val="002663"/>
      </a:dk1>
      <a:lt1>
        <a:sysClr val="window" lastClr="FFFFFF"/>
      </a:lt1>
      <a:dk2>
        <a:srgbClr val="3F9C35"/>
      </a:dk2>
      <a:lt2>
        <a:srgbClr val="009BBB"/>
      </a:lt2>
      <a:accent1>
        <a:srgbClr val="4D4F53"/>
      </a:accent1>
      <a:accent2>
        <a:srgbClr val="77216F"/>
      </a:accent2>
      <a:accent3>
        <a:srgbClr val="8B8D8E"/>
      </a:accent3>
      <a:accent4>
        <a:srgbClr val="006890"/>
      </a:accent4>
      <a:accent5>
        <a:srgbClr val="5E2750"/>
      </a:accent5>
      <a:accent6>
        <a:srgbClr val="ADAFAF"/>
      </a:accent6>
      <a:hlink>
        <a:srgbClr val="90D7E7"/>
      </a:hlink>
      <a:folHlink>
        <a:srgbClr val="9C5FB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49F4D43A9A284BB372C9BB30EEFF46" ma:contentTypeVersion="15" ma:contentTypeDescription="Ein neues Dokument erstellen." ma:contentTypeScope="" ma:versionID="66652054c10db574acec8228d3dad995">
  <xsd:schema xmlns:xsd="http://www.w3.org/2001/XMLSchema" xmlns:xs="http://www.w3.org/2001/XMLSchema" xmlns:p="http://schemas.microsoft.com/office/2006/metadata/properties" xmlns:ns2="07587efd-ac7a-4df8-a1d8-48ab231850ca" xmlns:ns3="6af2cf91-abf6-4ae9-bf56-5b036e82f662" targetNamespace="http://schemas.microsoft.com/office/2006/metadata/properties" ma:root="true" ma:fieldsID="baef4824da352149dc02ee83b8c5ed09" ns2:_="" ns3:_="">
    <xsd:import namespace="07587efd-ac7a-4df8-a1d8-48ab231850ca"/>
    <xsd:import namespace="6af2cf91-abf6-4ae9-bf56-5b036e82f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7efd-ac7a-4df8-a1d8-48ab23185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e778c4f-8902-4371-b4ff-439a777d7a4d}" ma:internalName="TaxCatchAll" ma:showField="CatchAllData" ma:web="07587efd-ac7a-4df8-a1d8-48ab23185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2cf91-abf6-4ae9-bf56-5b036e82f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e25269d-8ff2-4245-9585-ceb3355b4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2cf91-abf6-4ae9-bf56-5b036e82f662">
      <Terms xmlns="http://schemas.microsoft.com/office/infopath/2007/PartnerControls"/>
    </lcf76f155ced4ddcb4097134ff3c332f>
    <TaxCatchAll xmlns="07587efd-ac7a-4df8-a1d8-48ab231850ca" xsi:nil="true"/>
  </documentManagement>
</p:properties>
</file>

<file path=customXml/itemProps1.xml><?xml version="1.0" encoding="utf-8"?>
<ds:datastoreItem xmlns:ds="http://schemas.openxmlformats.org/officeDocument/2006/customXml" ds:itemID="{114CA32B-68DD-4DD5-90AB-B813613AC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1061B-9B1A-47F8-ACD3-4F994A352646}"/>
</file>

<file path=customXml/itemProps3.xml><?xml version="1.0" encoding="utf-8"?>
<ds:datastoreItem xmlns:ds="http://schemas.openxmlformats.org/officeDocument/2006/customXml" ds:itemID="{91D74FB2-9A7F-416F-A9A1-745BA6F55C8E}"/>
</file>

<file path=customXml/itemProps4.xml><?xml version="1.0" encoding="utf-8"?>
<ds:datastoreItem xmlns:ds="http://schemas.openxmlformats.org/officeDocument/2006/customXml" ds:itemID="{0593A620-9F0A-4350-837D-5263EF42B3D8}"/>
</file>

<file path=docProps/app.xml><?xml version="1.0" encoding="utf-8"?>
<Properties xmlns="http://schemas.openxmlformats.org/officeDocument/2006/extended-properties" xmlns:vt="http://schemas.openxmlformats.org/officeDocument/2006/docPropsVTypes">
  <Template>Global_Corporate_Payments_-_General_Word_Template_-_US_Letter_Size_-_Global[1]</Template>
  <TotalTime>0</TotalTime>
  <Pages>1</Pages>
  <Words>171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Posch</dc:creator>
  <cp:lastModifiedBy>Pfaller, Martina</cp:lastModifiedBy>
  <cp:revision>2</cp:revision>
  <cp:lastPrinted>2012-08-21T14:31:00Z</cp:lastPrinted>
  <dcterms:created xsi:type="dcterms:W3CDTF">2015-03-19T13:44:00Z</dcterms:created>
  <dcterms:modified xsi:type="dcterms:W3CDTF">2015-03-19T13:44:00Z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Robert Posch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  <property fmtid="{D5CDD505-2E9C-101B-9397-08002B2CF9AE}" pid="5" name="ContentTypeId">
    <vt:lpwstr>0x0101004C49F4D43A9A284BB372C9BB30EEFF46</vt:lpwstr>
  </property>
</Properties>
</file>